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E13EB" w14:textId="7FAB82C8" w:rsidR="00154038" w:rsidRPr="003623AD" w:rsidRDefault="00154038" w:rsidP="00154038">
      <w:pPr>
        <w:pStyle w:val="a6"/>
        <w:numPr>
          <w:ilvl w:val="0"/>
          <w:numId w:val="2"/>
        </w:numPr>
        <w:tabs>
          <w:tab w:val="left" w:pos="0"/>
        </w:tabs>
        <w:jc w:val="both"/>
        <w:rPr>
          <w:b/>
          <w:sz w:val="26"/>
          <w:szCs w:val="26"/>
          <w:u w:val="single"/>
        </w:rPr>
      </w:pPr>
      <w:r w:rsidRPr="003623AD">
        <w:rPr>
          <w:b/>
          <w:sz w:val="26"/>
          <w:szCs w:val="26"/>
          <w:u w:val="single"/>
        </w:rPr>
        <w:t>1</w:t>
      </w:r>
      <w:r w:rsidRPr="003623AD">
        <w:rPr>
          <w:b/>
          <w:sz w:val="26"/>
          <w:szCs w:val="26"/>
          <w:u w:val="single"/>
          <w:vertAlign w:val="superscript"/>
        </w:rPr>
        <w:t xml:space="preserve">η </w:t>
      </w:r>
      <w:r w:rsidRPr="003623AD">
        <w:rPr>
          <w:b/>
          <w:sz w:val="26"/>
          <w:szCs w:val="26"/>
          <w:u w:val="single"/>
        </w:rPr>
        <w:t>δραστηριότητα</w:t>
      </w:r>
    </w:p>
    <w:p w14:paraId="2C1F2911" w14:textId="77777777" w:rsidR="00154038" w:rsidRPr="003623AD" w:rsidRDefault="00154038" w:rsidP="00154038">
      <w:pPr>
        <w:pStyle w:val="a6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3623AD">
        <w:rPr>
          <w:sz w:val="26"/>
          <w:szCs w:val="26"/>
        </w:rPr>
        <w:t>Πως πιστεύετε ότι μπορούμε να διαπιστώσουμε αν εξαρτάται η περίοδος του εκκρεμούς από το μήκος του (δηλαδή  όταν αλλάζει το μήκος, αλλάζει η περίοδος)</w:t>
      </w:r>
      <w:r w:rsidRPr="0092161C">
        <w:rPr>
          <w:sz w:val="26"/>
          <w:szCs w:val="26"/>
        </w:rPr>
        <w:t xml:space="preserve"> </w:t>
      </w:r>
      <w:r w:rsidRPr="003623AD">
        <w:rPr>
          <w:sz w:val="26"/>
          <w:szCs w:val="26"/>
        </w:rPr>
        <w:t xml:space="preserve">χρησιμοποιώντας την προσομοίωση; </w:t>
      </w:r>
    </w:p>
    <w:p w14:paraId="7107DDDA" w14:textId="648419CC" w:rsidR="00154038" w:rsidRPr="003623AD" w:rsidRDefault="00154038" w:rsidP="00154038">
      <w:p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</w:t>
      </w:r>
      <w:r w:rsidRPr="003623AD">
        <w:rPr>
          <w:sz w:val="26"/>
          <w:szCs w:val="26"/>
        </w:rPr>
        <w:t>..</w:t>
      </w:r>
    </w:p>
    <w:p w14:paraId="55D6F2C0" w14:textId="107D62EF" w:rsidR="00154038" w:rsidRPr="003623AD" w:rsidRDefault="00154038" w:rsidP="00154038">
      <w:pPr>
        <w:pStyle w:val="a6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3623AD">
        <w:rPr>
          <w:sz w:val="26"/>
          <w:szCs w:val="26"/>
        </w:rPr>
        <w:t>Εκτρέπουμε το και ξεκινάμε την μέτρηση της περιόδου.</w:t>
      </w:r>
    </w:p>
    <w:p w14:paraId="322B81A6" w14:textId="49BE613B" w:rsidR="00154038" w:rsidRPr="00154038" w:rsidRDefault="00154038" w:rsidP="00154038">
      <w:p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>Μεταβάλλουμε το μήκος του εκκρεμούς και μετράμε με το χρονόμετρο την περίοδο, κρατώντας δύο δεκαδικά ψηφία, συμπληρώνοντας τον ακόλουθο πίνακα 1</w:t>
      </w:r>
      <w:r>
        <w:rPr>
          <w:sz w:val="26"/>
          <w:szCs w:val="26"/>
        </w:rPr>
        <w:t xml:space="preserve">. Προσοχή, κάθε φορά εκτρέπουμε το </w:t>
      </w:r>
      <w:r w:rsidRPr="003623AD">
        <w:rPr>
          <w:sz w:val="26"/>
          <w:szCs w:val="26"/>
        </w:rPr>
        <w:t xml:space="preserve">εκκρεμές </w:t>
      </w:r>
      <w:r>
        <w:rPr>
          <w:sz w:val="26"/>
          <w:szCs w:val="26"/>
        </w:rPr>
        <w:t>την ίδια</w:t>
      </w:r>
      <w:r w:rsidRPr="003623AD">
        <w:rPr>
          <w:sz w:val="26"/>
          <w:szCs w:val="26"/>
        </w:rPr>
        <w:t xml:space="preserve"> γωνία </w:t>
      </w:r>
      <w:r>
        <w:rPr>
          <w:sz w:val="26"/>
          <w:szCs w:val="26"/>
        </w:rPr>
        <w:t>και</w:t>
      </w:r>
      <w:r w:rsidRPr="003623AD">
        <w:rPr>
          <w:sz w:val="26"/>
          <w:szCs w:val="26"/>
        </w:rPr>
        <w:t xml:space="preserve"> μικρότερη των 10</w:t>
      </w:r>
      <w:r w:rsidRPr="003623AD">
        <w:rPr>
          <w:sz w:val="26"/>
          <w:szCs w:val="26"/>
          <w:vertAlign w:val="superscript"/>
        </w:rPr>
        <w:t>ο</w:t>
      </w:r>
      <w:r>
        <w:rPr>
          <w:sz w:val="26"/>
          <w:szCs w:val="26"/>
        </w:rPr>
        <w:t>, έστω 5</w:t>
      </w:r>
      <w:r w:rsidRPr="00154038">
        <w:rPr>
          <w:sz w:val="26"/>
          <w:szCs w:val="26"/>
          <w:vertAlign w:val="superscript"/>
        </w:rPr>
        <w:t>ο</w:t>
      </w:r>
      <w:r>
        <w:rPr>
          <w:sz w:val="26"/>
          <w:szCs w:val="26"/>
        </w:rPr>
        <w:t>.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126"/>
        <w:gridCol w:w="1985"/>
      </w:tblGrid>
      <w:tr w:rsidR="00154038" w:rsidRPr="003623AD" w14:paraId="020236DE" w14:textId="77777777" w:rsidTr="0099139C">
        <w:trPr>
          <w:jc w:val="center"/>
        </w:trPr>
        <w:tc>
          <w:tcPr>
            <w:tcW w:w="1951" w:type="dxa"/>
          </w:tcPr>
          <w:p w14:paraId="4A19853C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  <w:lang w:val="en-US"/>
              </w:rPr>
            </w:pPr>
            <w:r w:rsidRPr="003623AD">
              <w:rPr>
                <w:sz w:val="26"/>
                <w:szCs w:val="26"/>
              </w:rPr>
              <w:t xml:space="preserve">Μήκος </w:t>
            </w:r>
            <w:r w:rsidRPr="003623AD">
              <w:rPr>
                <w:sz w:val="26"/>
                <w:szCs w:val="26"/>
                <w:lang w:val="en-US"/>
              </w:rPr>
              <w:t>L (m)</w:t>
            </w:r>
          </w:p>
        </w:tc>
        <w:tc>
          <w:tcPr>
            <w:tcW w:w="2126" w:type="dxa"/>
          </w:tcPr>
          <w:p w14:paraId="50193705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Περίοδος Τ (</w:t>
            </w:r>
            <w:r w:rsidRPr="003623AD">
              <w:rPr>
                <w:sz w:val="26"/>
                <w:szCs w:val="26"/>
                <w:lang w:val="en-US"/>
              </w:rPr>
              <w:t>s)</w:t>
            </w:r>
          </w:p>
        </w:tc>
        <w:tc>
          <w:tcPr>
            <w:tcW w:w="1985" w:type="dxa"/>
          </w:tcPr>
          <w:p w14:paraId="7260AE0E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  <w:lang w:val="en-US"/>
              </w:rPr>
            </w:pPr>
            <w:r w:rsidRPr="003623AD">
              <w:rPr>
                <w:sz w:val="26"/>
                <w:szCs w:val="26"/>
                <w:lang w:val="en-US"/>
              </w:rPr>
              <w:t>T</w:t>
            </w:r>
            <w:r w:rsidRPr="003623AD">
              <w:rPr>
                <w:sz w:val="26"/>
                <w:szCs w:val="26"/>
                <w:vertAlign w:val="superscript"/>
                <w:lang w:val="en-US"/>
              </w:rPr>
              <w:t>2</w:t>
            </w:r>
            <w:r w:rsidRPr="003623AD">
              <w:rPr>
                <w:sz w:val="26"/>
                <w:szCs w:val="26"/>
                <w:lang w:val="en-US"/>
              </w:rPr>
              <w:t xml:space="preserve"> (s</w:t>
            </w:r>
            <w:r w:rsidRPr="003623AD">
              <w:rPr>
                <w:sz w:val="26"/>
                <w:szCs w:val="26"/>
                <w:vertAlign w:val="superscript"/>
                <w:lang w:val="en-US"/>
              </w:rPr>
              <w:t>2</w:t>
            </w:r>
            <w:r w:rsidRPr="003623AD">
              <w:rPr>
                <w:sz w:val="26"/>
                <w:szCs w:val="26"/>
                <w:lang w:val="en-US"/>
              </w:rPr>
              <w:t>)</w:t>
            </w:r>
          </w:p>
        </w:tc>
      </w:tr>
      <w:tr w:rsidR="00154038" w:rsidRPr="003623AD" w14:paraId="464A5652" w14:textId="77777777" w:rsidTr="0099139C">
        <w:trPr>
          <w:jc w:val="center"/>
        </w:trPr>
        <w:tc>
          <w:tcPr>
            <w:tcW w:w="1951" w:type="dxa"/>
          </w:tcPr>
          <w:p w14:paraId="29FF85CB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0,2</w:t>
            </w:r>
          </w:p>
        </w:tc>
        <w:tc>
          <w:tcPr>
            <w:tcW w:w="2126" w:type="dxa"/>
          </w:tcPr>
          <w:p w14:paraId="4ABC777E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3B40F6D6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154038" w:rsidRPr="003623AD" w14:paraId="42845912" w14:textId="77777777" w:rsidTr="0099139C">
        <w:trPr>
          <w:jc w:val="center"/>
        </w:trPr>
        <w:tc>
          <w:tcPr>
            <w:tcW w:w="1951" w:type="dxa"/>
          </w:tcPr>
          <w:p w14:paraId="2CDE54D1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0,4</w:t>
            </w:r>
          </w:p>
        </w:tc>
        <w:tc>
          <w:tcPr>
            <w:tcW w:w="2126" w:type="dxa"/>
          </w:tcPr>
          <w:p w14:paraId="6868A546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119955FC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154038" w:rsidRPr="003623AD" w14:paraId="1E565CC4" w14:textId="77777777" w:rsidTr="0099139C">
        <w:trPr>
          <w:jc w:val="center"/>
        </w:trPr>
        <w:tc>
          <w:tcPr>
            <w:tcW w:w="1951" w:type="dxa"/>
          </w:tcPr>
          <w:p w14:paraId="6A59EE0A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0,8</w:t>
            </w:r>
          </w:p>
        </w:tc>
        <w:tc>
          <w:tcPr>
            <w:tcW w:w="2126" w:type="dxa"/>
          </w:tcPr>
          <w:p w14:paraId="170DE20F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0AA6068F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154038" w:rsidRPr="003623AD" w14:paraId="16B8A151" w14:textId="77777777" w:rsidTr="0099139C">
        <w:trPr>
          <w:jc w:val="center"/>
        </w:trPr>
        <w:tc>
          <w:tcPr>
            <w:tcW w:w="1951" w:type="dxa"/>
          </w:tcPr>
          <w:p w14:paraId="7231833F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14:paraId="708502FE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39D0B4E6" w14:textId="77777777" w:rsidR="00154038" w:rsidRPr="003623AD" w:rsidRDefault="00154038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44115806" w14:textId="77777777" w:rsidR="00154038" w:rsidRPr="003623AD" w:rsidRDefault="00154038" w:rsidP="00154038">
      <w:pPr>
        <w:tabs>
          <w:tab w:val="left" w:pos="0"/>
        </w:tabs>
        <w:spacing w:after="0" w:line="240" w:lineRule="auto"/>
        <w:jc w:val="center"/>
        <w:rPr>
          <w:sz w:val="26"/>
          <w:szCs w:val="26"/>
        </w:rPr>
      </w:pPr>
      <w:r w:rsidRPr="003623AD">
        <w:rPr>
          <w:sz w:val="26"/>
          <w:szCs w:val="26"/>
        </w:rPr>
        <w:t>Πίνακας 1</w:t>
      </w:r>
    </w:p>
    <w:p w14:paraId="686AAF7A" w14:textId="77777777" w:rsidR="00154038" w:rsidRPr="003623AD" w:rsidRDefault="00154038" w:rsidP="00154038">
      <w:pPr>
        <w:tabs>
          <w:tab w:val="left" w:pos="0"/>
        </w:tabs>
        <w:spacing w:after="0" w:line="240" w:lineRule="auto"/>
        <w:jc w:val="center"/>
        <w:rPr>
          <w:sz w:val="26"/>
          <w:szCs w:val="26"/>
        </w:rPr>
      </w:pPr>
    </w:p>
    <w:p w14:paraId="5FDAB83B" w14:textId="77777777" w:rsidR="00154038" w:rsidRPr="003623AD" w:rsidRDefault="00154038" w:rsidP="00154038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3623AD">
        <w:rPr>
          <w:sz w:val="26"/>
          <w:szCs w:val="26"/>
        </w:rPr>
        <w:t>Καθώς αυξάνεται το μήκος του εκκρεμούς, η περίοδος:</w:t>
      </w:r>
    </w:p>
    <w:p w14:paraId="64663189" w14:textId="77777777" w:rsidR="001323D5" w:rsidRDefault="00154038" w:rsidP="00154038">
      <w:pPr>
        <w:pStyle w:val="a6"/>
        <w:numPr>
          <w:ilvl w:val="0"/>
          <w:numId w:val="1"/>
        </w:num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>Αυξάνεται</w:t>
      </w:r>
      <w:r w:rsidRPr="003623AD">
        <w:rPr>
          <w:sz w:val="26"/>
          <w:szCs w:val="26"/>
        </w:rPr>
        <w:tab/>
      </w:r>
      <w:r w:rsidRPr="003623AD">
        <w:rPr>
          <w:sz w:val="26"/>
          <w:szCs w:val="26"/>
        </w:rPr>
        <w:tab/>
      </w:r>
      <w:r w:rsidRPr="003623AD">
        <w:rPr>
          <w:sz w:val="26"/>
          <w:szCs w:val="26"/>
        </w:rPr>
        <w:tab/>
      </w:r>
    </w:p>
    <w:p w14:paraId="453B4CFC" w14:textId="1A46DC45" w:rsidR="001323D5" w:rsidRDefault="00154038" w:rsidP="00154038">
      <w:pPr>
        <w:pStyle w:val="a6"/>
        <w:numPr>
          <w:ilvl w:val="0"/>
          <w:numId w:val="1"/>
        </w:num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>Μειώνεται</w:t>
      </w:r>
      <w:r w:rsidRPr="003623AD">
        <w:rPr>
          <w:sz w:val="26"/>
          <w:szCs w:val="26"/>
        </w:rPr>
        <w:tab/>
      </w:r>
      <w:r w:rsidRPr="003623AD">
        <w:rPr>
          <w:sz w:val="26"/>
          <w:szCs w:val="26"/>
        </w:rPr>
        <w:tab/>
      </w:r>
      <w:r w:rsidRPr="003623AD">
        <w:rPr>
          <w:sz w:val="26"/>
          <w:szCs w:val="26"/>
        </w:rPr>
        <w:tab/>
      </w:r>
    </w:p>
    <w:p w14:paraId="64DA9243" w14:textId="7891700C" w:rsidR="00154038" w:rsidRPr="003623AD" w:rsidRDefault="00154038" w:rsidP="00154038">
      <w:pPr>
        <w:pStyle w:val="a6"/>
        <w:numPr>
          <w:ilvl w:val="0"/>
          <w:numId w:val="1"/>
        </w:num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>Δε μεταβάλλεται</w:t>
      </w:r>
    </w:p>
    <w:p w14:paraId="302A0495" w14:textId="77777777" w:rsidR="00154038" w:rsidRPr="003623AD" w:rsidRDefault="00154038" w:rsidP="00154038">
      <w:pPr>
        <w:pStyle w:val="a6"/>
        <w:tabs>
          <w:tab w:val="left" w:pos="0"/>
        </w:tabs>
        <w:ind w:left="1080"/>
        <w:jc w:val="both"/>
        <w:rPr>
          <w:sz w:val="26"/>
          <w:szCs w:val="26"/>
        </w:rPr>
      </w:pPr>
    </w:p>
    <w:p w14:paraId="56FEA5B7" w14:textId="77777777" w:rsidR="00154038" w:rsidRPr="003623AD" w:rsidRDefault="00154038" w:rsidP="00154038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3623AD">
        <w:rPr>
          <w:sz w:val="26"/>
          <w:szCs w:val="26"/>
        </w:rPr>
        <w:t>Σχεδιάστε τη γραφική παράσταση T</w:t>
      </w:r>
      <w:r w:rsidRPr="00E47573">
        <w:rPr>
          <w:sz w:val="26"/>
          <w:szCs w:val="26"/>
          <w:vertAlign w:val="superscript"/>
        </w:rPr>
        <w:t>2</w:t>
      </w:r>
      <w:r w:rsidRPr="003623AD">
        <w:rPr>
          <w:sz w:val="26"/>
          <w:szCs w:val="26"/>
        </w:rPr>
        <w:t xml:space="preserve">=f(L). Τι μορφή έχει; </w:t>
      </w:r>
    </w:p>
    <w:p w14:paraId="0228324E" w14:textId="77777777" w:rsidR="00154038" w:rsidRPr="003623AD" w:rsidRDefault="00154038" w:rsidP="00154038">
      <w:p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noProof/>
          <w:sz w:val="26"/>
          <w:szCs w:val="26"/>
        </w:rPr>
        <w:lastRenderedPageBreak/>
        <w:drawing>
          <wp:inline distT="0" distB="0" distL="0" distR="0" wp14:anchorId="1C059138" wp14:editId="1CA0DDA0">
            <wp:extent cx="3901027" cy="2186940"/>
            <wp:effectExtent l="0" t="0" r="0" b="0"/>
            <wp:docPr id="5" name="Εικόνα 1" descr="Χαρτί κ.λ.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Χαρτί κ.λ.π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648" cy="219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1E7F20" w14:textId="77777777" w:rsidR="00154038" w:rsidRPr="003623AD" w:rsidRDefault="00154038" w:rsidP="00154038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3623AD">
        <w:rPr>
          <w:sz w:val="26"/>
          <w:szCs w:val="26"/>
        </w:rPr>
        <w:t>Τι συμπεραίνετε για τα μεγέθη T</w:t>
      </w:r>
      <w:r w:rsidRPr="00E47573">
        <w:rPr>
          <w:sz w:val="26"/>
          <w:szCs w:val="26"/>
          <w:vertAlign w:val="superscript"/>
        </w:rPr>
        <w:t>2</w:t>
      </w:r>
      <w:r w:rsidRPr="003623AD">
        <w:rPr>
          <w:sz w:val="26"/>
          <w:szCs w:val="26"/>
        </w:rPr>
        <w:t xml:space="preserve"> και L;</w:t>
      </w:r>
    </w:p>
    <w:p w14:paraId="39EDE608" w14:textId="31ADEB07" w:rsidR="001323D5" w:rsidRPr="001323D5" w:rsidRDefault="00154038" w:rsidP="001323D5">
      <w:pPr>
        <w:pStyle w:val="a6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1323D5">
        <w:rPr>
          <w:sz w:val="26"/>
          <w:szCs w:val="26"/>
        </w:rPr>
        <w:t>Είναι ανάλογα</w:t>
      </w:r>
      <w:r w:rsidRPr="001323D5">
        <w:rPr>
          <w:sz w:val="26"/>
          <w:szCs w:val="26"/>
        </w:rPr>
        <w:tab/>
        <w:t xml:space="preserve"> </w:t>
      </w:r>
    </w:p>
    <w:p w14:paraId="3B927ADB" w14:textId="3B398646" w:rsidR="001323D5" w:rsidRPr="001323D5" w:rsidRDefault="00154038" w:rsidP="001323D5">
      <w:pPr>
        <w:pStyle w:val="a6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1323D5">
        <w:rPr>
          <w:sz w:val="26"/>
          <w:szCs w:val="26"/>
        </w:rPr>
        <w:t>Είναι αντιστρόφως ανάλογα</w:t>
      </w:r>
      <w:r w:rsidRPr="001323D5">
        <w:rPr>
          <w:sz w:val="26"/>
          <w:szCs w:val="26"/>
        </w:rPr>
        <w:tab/>
        <w:t xml:space="preserve">  </w:t>
      </w:r>
    </w:p>
    <w:p w14:paraId="3BFFCF96" w14:textId="127CBE37" w:rsidR="00154038" w:rsidRPr="001323D5" w:rsidRDefault="00154038" w:rsidP="001323D5">
      <w:pPr>
        <w:pStyle w:val="a6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1323D5">
        <w:rPr>
          <w:sz w:val="26"/>
          <w:szCs w:val="26"/>
        </w:rPr>
        <w:t>Δεν συνδέονται με κάποια σχέση</w:t>
      </w:r>
    </w:p>
    <w:p w14:paraId="5FCB799E" w14:textId="77777777" w:rsidR="00154038" w:rsidRDefault="00154038" w:rsidP="00154038">
      <w:pPr>
        <w:tabs>
          <w:tab w:val="left" w:pos="0"/>
        </w:tabs>
        <w:jc w:val="both"/>
        <w:rPr>
          <w:sz w:val="26"/>
          <w:szCs w:val="26"/>
        </w:rPr>
      </w:pPr>
    </w:p>
    <w:p w14:paraId="530541CC" w14:textId="77777777" w:rsidR="006E15F9" w:rsidRDefault="006E15F9"/>
    <w:sectPr w:rsidR="006E15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40EE3"/>
    <w:multiLevelType w:val="hybridMultilevel"/>
    <w:tmpl w:val="3440E322"/>
    <w:lvl w:ilvl="0" w:tplc="04080013">
      <w:start w:val="1"/>
      <w:numFmt w:val="upp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CF4741D"/>
    <w:multiLevelType w:val="hybridMultilevel"/>
    <w:tmpl w:val="947865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72402"/>
    <w:multiLevelType w:val="hybridMultilevel"/>
    <w:tmpl w:val="D5B405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B4473"/>
    <w:multiLevelType w:val="hybridMultilevel"/>
    <w:tmpl w:val="1E3AE2DC"/>
    <w:lvl w:ilvl="0" w:tplc="04080013">
      <w:start w:val="1"/>
      <w:numFmt w:val="upperRoman"/>
      <w:lvlText w:val="%1."/>
      <w:lvlJc w:val="right"/>
      <w:pPr>
        <w:ind w:left="2629" w:hanging="360"/>
      </w:pPr>
    </w:lvl>
    <w:lvl w:ilvl="1" w:tplc="04080019" w:tentative="1">
      <w:start w:val="1"/>
      <w:numFmt w:val="lowerLetter"/>
      <w:lvlText w:val="%2."/>
      <w:lvlJc w:val="left"/>
      <w:pPr>
        <w:ind w:left="3349" w:hanging="360"/>
      </w:pPr>
    </w:lvl>
    <w:lvl w:ilvl="2" w:tplc="0408001B" w:tentative="1">
      <w:start w:val="1"/>
      <w:numFmt w:val="lowerRoman"/>
      <w:lvlText w:val="%3."/>
      <w:lvlJc w:val="right"/>
      <w:pPr>
        <w:ind w:left="4069" w:hanging="180"/>
      </w:pPr>
    </w:lvl>
    <w:lvl w:ilvl="3" w:tplc="0408000F" w:tentative="1">
      <w:start w:val="1"/>
      <w:numFmt w:val="decimal"/>
      <w:lvlText w:val="%4."/>
      <w:lvlJc w:val="left"/>
      <w:pPr>
        <w:ind w:left="4789" w:hanging="360"/>
      </w:pPr>
    </w:lvl>
    <w:lvl w:ilvl="4" w:tplc="04080019" w:tentative="1">
      <w:start w:val="1"/>
      <w:numFmt w:val="lowerLetter"/>
      <w:lvlText w:val="%5."/>
      <w:lvlJc w:val="left"/>
      <w:pPr>
        <w:ind w:left="5509" w:hanging="360"/>
      </w:pPr>
    </w:lvl>
    <w:lvl w:ilvl="5" w:tplc="0408001B" w:tentative="1">
      <w:start w:val="1"/>
      <w:numFmt w:val="lowerRoman"/>
      <w:lvlText w:val="%6."/>
      <w:lvlJc w:val="right"/>
      <w:pPr>
        <w:ind w:left="6229" w:hanging="180"/>
      </w:pPr>
    </w:lvl>
    <w:lvl w:ilvl="6" w:tplc="0408000F" w:tentative="1">
      <w:start w:val="1"/>
      <w:numFmt w:val="decimal"/>
      <w:lvlText w:val="%7."/>
      <w:lvlJc w:val="left"/>
      <w:pPr>
        <w:ind w:left="6949" w:hanging="360"/>
      </w:pPr>
    </w:lvl>
    <w:lvl w:ilvl="7" w:tplc="04080019" w:tentative="1">
      <w:start w:val="1"/>
      <w:numFmt w:val="lowerLetter"/>
      <w:lvlText w:val="%8."/>
      <w:lvlJc w:val="left"/>
      <w:pPr>
        <w:ind w:left="7669" w:hanging="360"/>
      </w:pPr>
    </w:lvl>
    <w:lvl w:ilvl="8" w:tplc="0408001B" w:tentative="1">
      <w:start w:val="1"/>
      <w:numFmt w:val="lowerRoman"/>
      <w:lvlText w:val="%9."/>
      <w:lvlJc w:val="right"/>
      <w:pPr>
        <w:ind w:left="8389" w:hanging="180"/>
      </w:pPr>
    </w:lvl>
  </w:abstractNum>
  <w:num w:numId="1" w16cid:durableId="825391443">
    <w:abstractNumId w:val="3"/>
  </w:num>
  <w:num w:numId="2" w16cid:durableId="1942109261">
    <w:abstractNumId w:val="2"/>
  </w:num>
  <w:num w:numId="3" w16cid:durableId="1420905557">
    <w:abstractNumId w:val="1"/>
  </w:num>
  <w:num w:numId="4" w16cid:durableId="119893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38"/>
    <w:rsid w:val="001323D5"/>
    <w:rsid w:val="00154038"/>
    <w:rsid w:val="0019228A"/>
    <w:rsid w:val="006E15F9"/>
    <w:rsid w:val="00A7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F15A"/>
  <w15:chartTrackingRefBased/>
  <w15:docId w15:val="{2EFA885B-C408-4F32-83B3-D658978C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038"/>
    <w:pPr>
      <w:spacing w:after="200" w:line="276" w:lineRule="auto"/>
    </w:pPr>
    <w:rPr>
      <w:rFonts w:eastAsiaTheme="minorEastAsia"/>
      <w:kern w:val="0"/>
      <w:sz w:val="22"/>
      <w:szCs w:val="22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54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4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4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4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4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4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4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4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4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54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54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54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5403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5403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5403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5403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5403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540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4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54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4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54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4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5403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40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403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4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5403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5403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154038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Saltas</dc:creator>
  <cp:keywords/>
  <dc:description/>
  <cp:lastModifiedBy>Vassilis Saltas</cp:lastModifiedBy>
  <cp:revision>2</cp:revision>
  <dcterms:created xsi:type="dcterms:W3CDTF">2024-09-15T20:47:00Z</dcterms:created>
  <dcterms:modified xsi:type="dcterms:W3CDTF">2024-09-15T20:57:00Z</dcterms:modified>
</cp:coreProperties>
</file>